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eastAsia="NSimSun" w:cs="Lucida Sans" w:ascii="Calibri" w:hAnsi="Calibri"/>
          <w:b/>
          <w:bCs/>
          <w:color w:val="auto"/>
          <w:kern w:val="2"/>
          <w:sz w:val="28"/>
          <w:szCs w:val="28"/>
          <w:lang w:val="da-DK" w:eastAsia="zh-CN" w:bidi="hi-IN"/>
        </w:rPr>
        <w:t xml:space="preserve">Referat </w:t>
      </w:r>
      <w:r>
        <w:rPr>
          <w:rFonts w:ascii="Calibri" w:hAnsi="Calibri"/>
          <w:b/>
          <w:bCs/>
          <w:sz w:val="28"/>
          <w:szCs w:val="28"/>
        </w:rPr>
        <w:t>bestyrelsesmøde nr. 142 Herlevhuse</w:t>
      </w:r>
    </w:p>
    <w:p>
      <w:pPr>
        <w:pStyle w:val="Normal"/>
        <w:bidi w:val="0"/>
        <w:jc w:val="left"/>
        <w:rPr>
          <w:rFonts w:ascii="Calibri" w:hAnsi="Calibri"/>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5. september 2023</w:t>
      </w:r>
      <w:r>
        <w:rPr>
          <w:rFonts w:eastAsia="NSimSun" w:cs="Lucida Sans" w:ascii="Calibri" w:hAnsi="Calibri"/>
          <w:b/>
          <w:bCs/>
          <w:color w:val="auto"/>
          <w:kern w:val="2"/>
          <w:sz w:val="30"/>
          <w:szCs w:val="30"/>
          <w:u w:val="none"/>
          <w:lang w:val="da-DK" w:eastAsia="zh-CN" w:bidi="hi-IN"/>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Henrik R. Hansen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Referent: Yvonne L. Madsen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Afbud:  Irene Petersen</w:t>
        <w:br/>
        <w:t>Tilstede: René Petersen, Palle Jørgensen, Yvonne L. Madsen, Annette Villaume,  Henrik R. Hansen, Kim Johansen, Johnny Frandsen, KAB, Jan Holbæk, KAB</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rPr>
      </w:pPr>
      <w:r>
        <w:rPr>
          <w:rFonts w:cs="Times New Roman" w:ascii="Calibri" w:hAnsi="Calibri"/>
          <w:b w:val="false"/>
          <w:bCs w:val="false"/>
          <w:color w:val="000000"/>
        </w:rPr>
        <w:t>Opfølgning på naboproblemer.  Der blev orienteret om, hvor langt man var i processen. Sagen er overgået til driftschef og kundechef. Vi forventer svar hurtigst muligt.</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og godkendelse af referat nr. </w:t>
      </w:r>
      <w:r>
        <w:rPr>
          <w:rFonts w:eastAsia="NSimSun" w:cs="Times New Roman" w:ascii="Calibri" w:hAnsi="Calibri"/>
          <w:color w:val="000000"/>
          <w:kern w:val="2"/>
          <w:sz w:val="24"/>
          <w:szCs w:val="24"/>
          <w:lang w:val="da-DK" w:eastAsia="zh-CN" w:bidi="hi-IN"/>
        </w:rPr>
        <w:t>141</w:t>
      </w:r>
      <w:r>
        <w:rPr>
          <w:rFonts w:cs="Times New Roman" w:ascii="Calibri" w:hAnsi="Calibri"/>
          <w:color w:val="000000"/>
          <w:sz w:val="24"/>
          <w:szCs w:val="24"/>
        </w:rPr>
        <w:t xml:space="preserve"> og godkendelse af dagsorden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b w:val="false"/>
          <w:bCs w:val="false"/>
          <w:color w:val="000000"/>
          <w:sz w:val="24"/>
          <w:szCs w:val="24"/>
        </w:rPr>
        <w:t>Referat godkendt</w:t>
        <w:br/>
        <w:t>Nye punkter til dagsordenen: Beboermøder, regnskab og budget – Granskningsrapport – rapport fra firma T2 ang. skure og tilbygninger</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xml:space="preserve">2. Nyt fra </w:t>
        <w:br/>
      </w:r>
      <w:r>
        <w:rPr>
          <w:rFonts w:cs="Times New Roman" w:ascii="Calibri" w:hAnsi="Calibri"/>
          <w:b/>
          <w:bCs/>
          <w:color w:val="000000"/>
          <w:sz w:val="24"/>
          <w:szCs w:val="24"/>
        </w:rPr>
        <w:t>Driftsleder:</w:t>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val="false"/>
          <w:bCs w:val="false"/>
        </w:rPr>
        <w:t>Aktionslisten</w:t>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val="false"/>
          <w:bCs w:val="false"/>
        </w:rPr>
        <w:t>Ang. rygninger på fælleshuset er vores tømrer ved at køre en sag på levering af nye rygplader</w:t>
        <w:br/>
        <w:t>Aktionslisten blev herefter gennemgået og taget til efterretning</w:t>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val="false"/>
          <w:bCs w:val="false"/>
        </w:rPr>
      </w:r>
    </w:p>
    <w:p>
      <w:pPr>
        <w:pStyle w:val="Normal"/>
        <w:tabs>
          <w:tab w:val="clear" w:pos="709"/>
          <w:tab w:val="left" w:pos="0" w:leader="none"/>
        </w:tabs>
        <w:bidi w:val="0"/>
        <w:spacing w:before="0" w:after="0"/>
        <w:jc w:val="left"/>
        <w:rPr>
          <w:rFonts w:ascii="Calibri" w:hAnsi="Calibri"/>
          <w:b/>
          <w:b/>
          <w:bCs/>
        </w:rPr>
      </w:pPr>
      <w:r>
        <w:rPr>
          <w:rFonts w:ascii="Calibri" w:hAnsi="Calibri"/>
          <w:b/>
          <w:bCs/>
        </w:rPr>
        <w:t>Driftschef:</w:t>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val="false"/>
          <w:bCs w:val="false"/>
        </w:rPr>
        <w:t>På beboermødet i maj 2023 blev der oplyst et forkert beløb på udskiftning af tagplader. De korrekte beløb ses i skemaet</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b/>
          <w:bCs/>
          <w:color w:val="000000"/>
          <w:sz w:val="24"/>
          <w:szCs w:val="24"/>
        </w:rPr>
        <w:t xml:space="preserve">Bestyrelsen har den 28.8.23 fået udleveret det eksakte beløb på udskiftning af tagplader for perioden 2014 til og med den 24. maj 2023 </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tbl>
      <w:tblPr>
        <w:tblW w:w="4161" w:type="dxa"/>
        <w:jc w:val="left"/>
        <w:tblInd w:w="-30" w:type="dxa"/>
        <w:tblLayout w:type="fixed"/>
        <w:tblCellMar>
          <w:top w:w="0" w:type="dxa"/>
          <w:left w:w="30" w:type="dxa"/>
          <w:bottom w:w="0" w:type="dxa"/>
          <w:right w:w="30" w:type="dxa"/>
        </w:tblCellMar>
      </w:tblPr>
      <w:tblGrid>
        <w:gridCol w:w="1606"/>
        <w:gridCol w:w="1592"/>
        <w:gridCol w:w="963"/>
      </w:tblGrid>
      <w:tr>
        <w:trPr>
          <w:trHeight w:val="285" w:hRule="atLeast"/>
        </w:trPr>
        <w:tc>
          <w:tcPr>
            <w:tcW w:w="1606" w:type="dxa"/>
            <w:tcBorders/>
            <w:vAlign w:val="bottom"/>
          </w:tcPr>
          <w:p>
            <w:pPr>
              <w:pStyle w:val="Normal"/>
              <w:widowControl w:val="false"/>
              <w:tabs>
                <w:tab w:val="clear" w:pos="709"/>
              </w:tabs>
              <w:jc w:val="left"/>
              <w:rPr>
                <w:rFonts w:ascii="Calibri" w:hAnsi="Calibri"/>
                <w:sz w:val="24"/>
                <w:szCs w:val="24"/>
              </w:rPr>
            </w:pPr>
            <w:r>
              <w:rPr>
                <w:rFonts w:cs="Times New Roman" w:ascii="Calibri" w:hAnsi="Calibri"/>
                <w:b/>
                <w:bCs/>
                <w:color w:val="000000"/>
                <w:sz w:val="24"/>
                <w:szCs w:val="24"/>
              </w:rPr>
              <w:t>Oversigt over forbrug på</w:t>
            </w:r>
            <w:r>
              <w:rPr/>
              <w:t xml:space="preserve"> </w:t>
            </w:r>
            <w:r>
              <w:rPr>
                <w:b/>
                <w:bCs/>
              </w:rPr>
              <w:t>tage</w:t>
            </w:r>
          </w:p>
        </w:tc>
        <w:tc>
          <w:tcPr>
            <w:tcW w:w="1592"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c>
          <w:tcPr>
            <w:tcW w:w="963"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r>
      <w:tr>
        <w:trPr>
          <w:trHeight w:val="285" w:hRule="atLeast"/>
        </w:trPr>
        <w:tc>
          <w:tcPr>
            <w:tcW w:w="1606" w:type="dxa"/>
            <w:tcBorders/>
            <w:vAlign w:val="bottom"/>
          </w:tcPr>
          <w:p>
            <w:pPr>
              <w:pStyle w:val="Normal"/>
              <w:widowControl w:val="false"/>
              <w:tabs>
                <w:tab w:val="clear" w:pos="709"/>
              </w:tabs>
              <w:jc w:val="left"/>
              <w:rPr>
                <w:rFonts w:ascii="Calibri" w:hAnsi="Calibri"/>
                <w:sz w:val="24"/>
                <w:szCs w:val="24"/>
              </w:rPr>
            </w:pPr>
            <w:r>
              <w:rPr/>
              <w:t>pr. 24/5 2023</w:t>
            </w:r>
          </w:p>
        </w:tc>
        <w:tc>
          <w:tcPr>
            <w:tcW w:w="1592"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c>
          <w:tcPr>
            <w:tcW w:w="963"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r>
      <w:tr>
        <w:trPr>
          <w:trHeight w:val="285" w:hRule="atLeast"/>
        </w:trPr>
        <w:tc>
          <w:tcPr>
            <w:tcW w:w="1606"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c>
          <w:tcPr>
            <w:tcW w:w="1592"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c>
          <w:tcPr>
            <w:tcW w:w="963"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r>
      <w:tr>
        <w:trPr>
          <w:trHeight w:val="285" w:hRule="atLeast"/>
        </w:trPr>
        <w:tc>
          <w:tcPr>
            <w:tcW w:w="1606" w:type="dxa"/>
            <w:tcBorders/>
            <w:vAlign w:val="bottom"/>
          </w:tcPr>
          <w:p>
            <w:pPr>
              <w:pStyle w:val="Normal"/>
              <w:widowControl w:val="false"/>
              <w:tabs>
                <w:tab w:val="clear" w:pos="709"/>
              </w:tabs>
              <w:jc w:val="left"/>
              <w:rPr>
                <w:rFonts w:ascii="Calibri" w:hAnsi="Calibri"/>
                <w:sz w:val="24"/>
                <w:szCs w:val="24"/>
              </w:rPr>
            </w:pPr>
            <w:r>
              <w:rPr/>
              <w:t>2022-2023</w:t>
            </w:r>
          </w:p>
        </w:tc>
        <w:tc>
          <w:tcPr>
            <w:tcW w:w="1592" w:type="dxa"/>
            <w:tcBorders/>
            <w:vAlign w:val="bottom"/>
          </w:tcPr>
          <w:p>
            <w:pPr>
              <w:pStyle w:val="Normal"/>
              <w:widowControl w:val="false"/>
              <w:tabs>
                <w:tab w:val="clear" w:pos="709"/>
              </w:tabs>
              <w:jc w:val="right"/>
              <w:rPr>
                <w:rFonts w:ascii="Calibri" w:hAnsi="Calibri"/>
                <w:sz w:val="24"/>
                <w:szCs w:val="24"/>
              </w:rPr>
            </w:pPr>
            <w:r>
              <w:rPr/>
              <w:t xml:space="preserve"> </w:t>
            </w:r>
            <w:r>
              <w:rPr/>
              <w:t>665.665,00</w:t>
            </w:r>
          </w:p>
        </w:tc>
        <w:tc>
          <w:tcPr>
            <w:tcW w:w="963"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r>
      <w:tr>
        <w:trPr>
          <w:trHeight w:val="285" w:hRule="atLeast"/>
        </w:trPr>
        <w:tc>
          <w:tcPr>
            <w:tcW w:w="1606" w:type="dxa"/>
            <w:tcBorders/>
            <w:vAlign w:val="bottom"/>
          </w:tcPr>
          <w:p>
            <w:pPr>
              <w:pStyle w:val="Normal"/>
              <w:widowControl w:val="false"/>
              <w:tabs>
                <w:tab w:val="clear" w:pos="709"/>
              </w:tabs>
              <w:jc w:val="left"/>
              <w:rPr>
                <w:rFonts w:ascii="Calibri" w:hAnsi="Calibri"/>
                <w:sz w:val="24"/>
                <w:szCs w:val="24"/>
              </w:rPr>
            </w:pPr>
            <w:r>
              <w:rPr/>
              <w:t>2021-2022</w:t>
            </w:r>
          </w:p>
        </w:tc>
        <w:tc>
          <w:tcPr>
            <w:tcW w:w="1592" w:type="dxa"/>
            <w:tcBorders/>
            <w:vAlign w:val="bottom"/>
          </w:tcPr>
          <w:p>
            <w:pPr>
              <w:pStyle w:val="Normal"/>
              <w:widowControl w:val="false"/>
              <w:tabs>
                <w:tab w:val="clear" w:pos="709"/>
              </w:tabs>
              <w:jc w:val="right"/>
              <w:rPr>
                <w:rFonts w:ascii="Calibri" w:hAnsi="Calibri"/>
                <w:sz w:val="24"/>
                <w:szCs w:val="24"/>
              </w:rPr>
            </w:pPr>
            <w:r>
              <w:rPr/>
              <w:t xml:space="preserve"> </w:t>
            </w:r>
            <w:r>
              <w:rPr/>
              <w:t>1.039.580,00</w:t>
            </w:r>
          </w:p>
        </w:tc>
        <w:tc>
          <w:tcPr>
            <w:tcW w:w="963" w:type="dxa"/>
            <w:tcBorders/>
            <w:vAlign w:val="bottom"/>
          </w:tcPr>
          <w:p>
            <w:pPr>
              <w:pStyle w:val="Normal"/>
              <w:widowControl w:val="false"/>
              <w:tabs>
                <w:tab w:val="clear" w:pos="709"/>
              </w:tabs>
              <w:jc w:val="left"/>
              <w:rPr>
                <w:rFonts w:ascii="Calibri" w:hAnsi="Calibri"/>
                <w:sz w:val="24"/>
                <w:szCs w:val="24"/>
              </w:rPr>
            </w:pPr>
            <w:r>
              <w:rPr/>
              <w:t>Storm</w:t>
            </w:r>
          </w:p>
        </w:tc>
      </w:tr>
      <w:tr>
        <w:trPr>
          <w:trHeight w:val="285" w:hRule="atLeast"/>
        </w:trPr>
        <w:tc>
          <w:tcPr>
            <w:tcW w:w="1606" w:type="dxa"/>
            <w:tcBorders/>
            <w:vAlign w:val="bottom"/>
          </w:tcPr>
          <w:p>
            <w:pPr>
              <w:pStyle w:val="Normal"/>
              <w:widowControl w:val="false"/>
              <w:tabs>
                <w:tab w:val="clear" w:pos="709"/>
              </w:tabs>
              <w:jc w:val="left"/>
              <w:rPr>
                <w:rFonts w:ascii="Calibri" w:hAnsi="Calibri"/>
                <w:sz w:val="24"/>
                <w:szCs w:val="24"/>
              </w:rPr>
            </w:pPr>
            <w:r>
              <w:rPr/>
              <w:t>2020-2021</w:t>
            </w:r>
          </w:p>
        </w:tc>
        <w:tc>
          <w:tcPr>
            <w:tcW w:w="1592" w:type="dxa"/>
            <w:tcBorders/>
            <w:vAlign w:val="bottom"/>
          </w:tcPr>
          <w:p>
            <w:pPr>
              <w:pStyle w:val="Normal"/>
              <w:widowControl w:val="false"/>
              <w:tabs>
                <w:tab w:val="clear" w:pos="709"/>
              </w:tabs>
              <w:jc w:val="right"/>
              <w:rPr>
                <w:rFonts w:ascii="Calibri" w:hAnsi="Calibri"/>
                <w:sz w:val="24"/>
                <w:szCs w:val="24"/>
              </w:rPr>
            </w:pPr>
            <w:r>
              <w:rPr/>
              <w:t xml:space="preserve"> </w:t>
            </w:r>
            <w:r>
              <w:rPr/>
              <w:t>585.944,00</w:t>
            </w:r>
          </w:p>
        </w:tc>
        <w:tc>
          <w:tcPr>
            <w:tcW w:w="963"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r>
      <w:tr>
        <w:trPr>
          <w:trHeight w:val="285" w:hRule="atLeast"/>
        </w:trPr>
        <w:tc>
          <w:tcPr>
            <w:tcW w:w="1606" w:type="dxa"/>
            <w:tcBorders/>
            <w:vAlign w:val="bottom"/>
          </w:tcPr>
          <w:p>
            <w:pPr>
              <w:pStyle w:val="Normal"/>
              <w:widowControl w:val="false"/>
              <w:tabs>
                <w:tab w:val="clear" w:pos="709"/>
              </w:tabs>
              <w:jc w:val="left"/>
              <w:rPr>
                <w:rFonts w:ascii="Calibri" w:hAnsi="Calibri"/>
                <w:sz w:val="24"/>
                <w:szCs w:val="24"/>
              </w:rPr>
            </w:pPr>
            <w:r>
              <w:rPr/>
              <w:t>2019-2020</w:t>
            </w:r>
          </w:p>
        </w:tc>
        <w:tc>
          <w:tcPr>
            <w:tcW w:w="1592" w:type="dxa"/>
            <w:tcBorders/>
            <w:vAlign w:val="bottom"/>
          </w:tcPr>
          <w:p>
            <w:pPr>
              <w:pStyle w:val="Normal"/>
              <w:widowControl w:val="false"/>
              <w:tabs>
                <w:tab w:val="clear" w:pos="709"/>
              </w:tabs>
              <w:jc w:val="right"/>
              <w:rPr>
                <w:rFonts w:ascii="Calibri" w:hAnsi="Calibri"/>
                <w:sz w:val="24"/>
                <w:szCs w:val="24"/>
              </w:rPr>
            </w:pPr>
            <w:r>
              <w:rPr/>
              <w:t xml:space="preserve"> </w:t>
            </w:r>
            <w:r>
              <w:rPr/>
              <w:t>657.241,00</w:t>
            </w:r>
          </w:p>
        </w:tc>
        <w:tc>
          <w:tcPr>
            <w:tcW w:w="963"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r>
      <w:tr>
        <w:trPr>
          <w:trHeight w:val="285" w:hRule="atLeast"/>
        </w:trPr>
        <w:tc>
          <w:tcPr>
            <w:tcW w:w="1606" w:type="dxa"/>
            <w:tcBorders/>
            <w:vAlign w:val="bottom"/>
          </w:tcPr>
          <w:p>
            <w:pPr>
              <w:pStyle w:val="Normal"/>
              <w:widowControl w:val="false"/>
              <w:tabs>
                <w:tab w:val="clear" w:pos="709"/>
              </w:tabs>
              <w:jc w:val="left"/>
              <w:rPr>
                <w:rFonts w:ascii="Calibri" w:hAnsi="Calibri"/>
                <w:sz w:val="24"/>
                <w:szCs w:val="24"/>
              </w:rPr>
            </w:pPr>
            <w:r>
              <w:rPr/>
              <w:t>2018-2019</w:t>
            </w:r>
          </w:p>
        </w:tc>
        <w:tc>
          <w:tcPr>
            <w:tcW w:w="1592" w:type="dxa"/>
            <w:tcBorders/>
            <w:vAlign w:val="bottom"/>
          </w:tcPr>
          <w:p>
            <w:pPr>
              <w:pStyle w:val="Normal"/>
              <w:widowControl w:val="false"/>
              <w:tabs>
                <w:tab w:val="clear" w:pos="709"/>
              </w:tabs>
              <w:jc w:val="right"/>
              <w:rPr>
                <w:rFonts w:ascii="Calibri" w:hAnsi="Calibri"/>
                <w:sz w:val="24"/>
                <w:szCs w:val="24"/>
              </w:rPr>
            </w:pPr>
            <w:r>
              <w:rPr/>
              <w:t xml:space="preserve"> </w:t>
            </w:r>
            <w:r>
              <w:rPr/>
              <w:t>387.820,00</w:t>
            </w:r>
          </w:p>
        </w:tc>
        <w:tc>
          <w:tcPr>
            <w:tcW w:w="963"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r>
      <w:tr>
        <w:trPr>
          <w:trHeight w:val="285" w:hRule="atLeast"/>
        </w:trPr>
        <w:tc>
          <w:tcPr>
            <w:tcW w:w="1606" w:type="dxa"/>
            <w:tcBorders/>
            <w:vAlign w:val="bottom"/>
          </w:tcPr>
          <w:p>
            <w:pPr>
              <w:pStyle w:val="Normal"/>
              <w:widowControl w:val="false"/>
              <w:tabs>
                <w:tab w:val="clear" w:pos="709"/>
              </w:tabs>
              <w:jc w:val="left"/>
              <w:rPr>
                <w:rFonts w:ascii="Calibri" w:hAnsi="Calibri"/>
                <w:sz w:val="24"/>
                <w:szCs w:val="24"/>
              </w:rPr>
            </w:pPr>
            <w:r>
              <w:rPr/>
              <w:t>2017-2018</w:t>
            </w:r>
          </w:p>
        </w:tc>
        <w:tc>
          <w:tcPr>
            <w:tcW w:w="1592" w:type="dxa"/>
            <w:tcBorders/>
            <w:vAlign w:val="bottom"/>
          </w:tcPr>
          <w:p>
            <w:pPr>
              <w:pStyle w:val="Normal"/>
              <w:widowControl w:val="false"/>
              <w:tabs>
                <w:tab w:val="clear" w:pos="709"/>
              </w:tabs>
              <w:jc w:val="right"/>
              <w:rPr>
                <w:rFonts w:ascii="Calibri" w:hAnsi="Calibri"/>
                <w:sz w:val="24"/>
                <w:szCs w:val="24"/>
              </w:rPr>
            </w:pPr>
            <w:r>
              <w:rPr/>
              <w:t xml:space="preserve"> </w:t>
            </w:r>
            <w:r>
              <w:rPr/>
              <w:t>587.058,00</w:t>
            </w:r>
          </w:p>
        </w:tc>
        <w:tc>
          <w:tcPr>
            <w:tcW w:w="963"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r>
      <w:tr>
        <w:trPr>
          <w:trHeight w:val="285" w:hRule="atLeast"/>
        </w:trPr>
        <w:tc>
          <w:tcPr>
            <w:tcW w:w="1606" w:type="dxa"/>
            <w:tcBorders/>
            <w:vAlign w:val="bottom"/>
          </w:tcPr>
          <w:p>
            <w:pPr>
              <w:pStyle w:val="Normal"/>
              <w:widowControl w:val="false"/>
              <w:tabs>
                <w:tab w:val="clear" w:pos="709"/>
              </w:tabs>
              <w:jc w:val="left"/>
              <w:rPr>
                <w:rFonts w:ascii="Calibri" w:hAnsi="Calibri"/>
                <w:sz w:val="24"/>
                <w:szCs w:val="24"/>
              </w:rPr>
            </w:pPr>
            <w:r>
              <w:rPr/>
              <w:t>2016-2017</w:t>
            </w:r>
          </w:p>
        </w:tc>
        <w:tc>
          <w:tcPr>
            <w:tcW w:w="1592" w:type="dxa"/>
            <w:tcBorders/>
            <w:vAlign w:val="bottom"/>
          </w:tcPr>
          <w:p>
            <w:pPr>
              <w:pStyle w:val="Normal"/>
              <w:widowControl w:val="false"/>
              <w:tabs>
                <w:tab w:val="clear" w:pos="709"/>
              </w:tabs>
              <w:jc w:val="right"/>
              <w:rPr>
                <w:rFonts w:ascii="Calibri" w:hAnsi="Calibri"/>
                <w:sz w:val="24"/>
                <w:szCs w:val="24"/>
              </w:rPr>
            </w:pPr>
            <w:r>
              <w:rPr/>
              <w:t xml:space="preserve"> </w:t>
            </w:r>
            <w:r>
              <w:rPr/>
              <w:t>179.981,00</w:t>
            </w:r>
          </w:p>
        </w:tc>
        <w:tc>
          <w:tcPr>
            <w:tcW w:w="963"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r>
      <w:tr>
        <w:trPr>
          <w:trHeight w:val="285" w:hRule="atLeast"/>
        </w:trPr>
        <w:tc>
          <w:tcPr>
            <w:tcW w:w="1606" w:type="dxa"/>
            <w:tcBorders/>
            <w:vAlign w:val="bottom"/>
          </w:tcPr>
          <w:p>
            <w:pPr>
              <w:pStyle w:val="Normal"/>
              <w:widowControl w:val="false"/>
              <w:tabs>
                <w:tab w:val="clear" w:pos="709"/>
              </w:tabs>
              <w:jc w:val="left"/>
              <w:rPr>
                <w:rFonts w:ascii="Calibri" w:hAnsi="Calibri"/>
                <w:sz w:val="24"/>
                <w:szCs w:val="24"/>
              </w:rPr>
            </w:pPr>
            <w:r>
              <w:rPr/>
              <w:t>2015-2016</w:t>
            </w:r>
          </w:p>
        </w:tc>
        <w:tc>
          <w:tcPr>
            <w:tcW w:w="1592" w:type="dxa"/>
            <w:tcBorders/>
            <w:vAlign w:val="bottom"/>
          </w:tcPr>
          <w:p>
            <w:pPr>
              <w:pStyle w:val="Normal"/>
              <w:widowControl w:val="false"/>
              <w:tabs>
                <w:tab w:val="clear" w:pos="709"/>
              </w:tabs>
              <w:jc w:val="right"/>
              <w:rPr>
                <w:rFonts w:ascii="Calibri" w:hAnsi="Calibri"/>
                <w:sz w:val="24"/>
                <w:szCs w:val="24"/>
              </w:rPr>
            </w:pPr>
            <w:r>
              <w:rPr/>
              <w:t xml:space="preserve"> </w:t>
            </w:r>
            <w:r>
              <w:rPr/>
              <w:t>236.933,00</w:t>
            </w:r>
          </w:p>
        </w:tc>
        <w:tc>
          <w:tcPr>
            <w:tcW w:w="963"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r>
      <w:tr>
        <w:trPr>
          <w:trHeight w:val="285" w:hRule="atLeast"/>
        </w:trPr>
        <w:tc>
          <w:tcPr>
            <w:tcW w:w="1606" w:type="dxa"/>
            <w:tcBorders/>
            <w:vAlign w:val="bottom"/>
          </w:tcPr>
          <w:p>
            <w:pPr>
              <w:pStyle w:val="Normal"/>
              <w:widowControl w:val="false"/>
              <w:tabs>
                <w:tab w:val="clear" w:pos="709"/>
              </w:tabs>
              <w:jc w:val="left"/>
              <w:rPr>
                <w:rFonts w:ascii="Calibri" w:hAnsi="Calibri"/>
                <w:sz w:val="24"/>
                <w:szCs w:val="24"/>
              </w:rPr>
            </w:pPr>
            <w:r>
              <w:rPr/>
              <w:t>2014-2015</w:t>
            </w:r>
          </w:p>
        </w:tc>
        <w:tc>
          <w:tcPr>
            <w:tcW w:w="1592" w:type="dxa"/>
            <w:tcBorders/>
            <w:vAlign w:val="bottom"/>
          </w:tcPr>
          <w:p>
            <w:pPr>
              <w:pStyle w:val="Normal"/>
              <w:widowControl w:val="false"/>
              <w:tabs>
                <w:tab w:val="clear" w:pos="709"/>
              </w:tabs>
              <w:jc w:val="right"/>
              <w:rPr>
                <w:rFonts w:ascii="Calibri" w:hAnsi="Calibri"/>
                <w:sz w:val="24"/>
                <w:szCs w:val="24"/>
              </w:rPr>
            </w:pPr>
            <w:r>
              <w:rPr/>
              <w:t xml:space="preserve"> </w:t>
            </w:r>
            <w:r>
              <w:rPr/>
              <w:t>62.428,00</w:t>
            </w:r>
          </w:p>
        </w:tc>
        <w:tc>
          <w:tcPr>
            <w:tcW w:w="963" w:type="dxa"/>
            <w:tcBorders/>
            <w:vAlign w:val="bottom"/>
          </w:tcPr>
          <w:p>
            <w:pPr>
              <w:pStyle w:val="Normal"/>
              <w:widowControl w:val="false"/>
              <w:tabs>
                <w:tab w:val="clear" w:pos="709"/>
              </w:tabs>
              <w:jc w:val="left"/>
              <w:rPr>
                <w:rFonts w:ascii="Calibri" w:hAnsi="Calibri"/>
                <w:sz w:val="24"/>
                <w:szCs w:val="24"/>
              </w:rPr>
            </w:pPr>
            <w:r>
              <w:rPr>
                <w:rFonts w:ascii="Calibri" w:hAnsi="Calibri"/>
                <w:sz w:val="24"/>
                <w:szCs w:val="24"/>
              </w:rPr>
            </w:r>
          </w:p>
        </w:tc>
      </w:tr>
    </w:tbl>
    <w:p>
      <w:pPr>
        <w:pStyle w:val="Normal"/>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b/>
          <w:b/>
          <w:bCs/>
        </w:rPr>
      </w:pPr>
      <w:r>
        <w:rPr>
          <w:rFonts w:ascii="Calibri" w:hAnsi="Calibri"/>
          <w:b/>
          <w:bCs/>
        </w:rPr>
        <w:t xml:space="preserve">Granskningsrapport. </w:t>
      </w:r>
      <w:r>
        <w:rPr>
          <w:rFonts w:ascii="Calibri" w:hAnsi="Calibri"/>
          <w:b w:val="false"/>
          <w:bCs w:val="false"/>
        </w:rPr>
        <w:t>Landsbyggefonden havde bedt Rambøl lave en granskningsrapport i de almene ældre/gamle beboelser. Vi har nu fået rapporten, som var et makværk og der er gjort indsigelser til Landsbyggefonden.</w:t>
      </w:r>
    </w:p>
    <w:p>
      <w:pPr>
        <w:pStyle w:val="Normal"/>
        <w:tabs>
          <w:tab w:val="clear" w:pos="709"/>
          <w:tab w:val="left" w:pos="0" w:leader="none"/>
        </w:tabs>
        <w:bidi w:val="0"/>
        <w:spacing w:before="0" w:after="0"/>
        <w:jc w:val="left"/>
        <w:rPr>
          <w:b w:val="false"/>
          <w:b w:val="false"/>
          <w:bCs w:val="false"/>
        </w:rPr>
      </w:pPr>
      <w:r>
        <w:rPr>
          <w:b w:val="false"/>
          <w:bCs w:val="false"/>
        </w:rPr>
      </w:r>
    </w:p>
    <w:p>
      <w:pPr>
        <w:pStyle w:val="Normal"/>
        <w:tabs>
          <w:tab w:val="clear" w:pos="709"/>
          <w:tab w:val="left" w:pos="0" w:leader="none"/>
        </w:tabs>
        <w:bidi w:val="0"/>
        <w:spacing w:before="0" w:after="0"/>
        <w:jc w:val="left"/>
        <w:rPr>
          <w:rFonts w:ascii="Calibri" w:hAnsi="Calibri"/>
          <w:b/>
          <w:b/>
          <w:bCs/>
        </w:rPr>
      </w:pPr>
      <w:r>
        <w:rPr>
          <w:rFonts w:ascii="Calibri" w:hAnsi="Calibri"/>
          <w:b/>
          <w:bCs/>
        </w:rPr>
        <w:t>Skure og tilbygninger</w:t>
        <w:br/>
      </w:r>
      <w:r>
        <w:rPr>
          <w:rFonts w:ascii="Calibri" w:hAnsi="Calibri"/>
          <w:b w:val="false"/>
          <w:bCs w:val="false"/>
        </w:rPr>
        <w:t>I forbindelse med BBR registrering samt evt. lovliggørelse af skure,- og tilbygninger har vi fået  tilbud fra firma T2 ang. vurdering af skure,- og tilbygninger.</w:t>
        <w:br/>
        <w:t xml:space="preserve">Tilbuddet blev gennemgået og bestyrelsen godkendte firmaets tilbud. </w:t>
      </w:r>
      <w:r>
        <w:rPr>
          <w:rFonts w:ascii="Calibri" w:hAnsi="Calibri"/>
          <w:b w:val="false"/>
          <w:bCs w:val="false"/>
        </w:rPr>
        <w:t>Det er beboermødet i november 2023, der skal give den endelige godkendelse.</w:t>
      </w:r>
    </w:p>
    <w:p>
      <w:pPr>
        <w:pStyle w:val="Normal"/>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w:t>
        <w:br/>
      </w:r>
      <w:r>
        <w:rPr>
          <w:rFonts w:cs="Times New Roman" w:ascii="Calibri" w:hAnsi="Calibri"/>
          <w:b w:val="false"/>
          <w:bCs w:val="false"/>
          <w:color w:val="000000"/>
          <w:sz w:val="24"/>
          <w:szCs w:val="24"/>
        </w:rPr>
        <w:t>Orientering fra følgegruppemøde den 4.9.23</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t xml:space="preserve">Bestyrelsen fik en orientering om hvor langt man var kommet i processen. Der vil blive udsendt et brev til alle beboere med en henvisning til et spørgeskema, som enten kan hentes på ejendomskontoret eller få udleveret et link til spørgeskemaet. Linket bliver lagt på vores hjemmesiden herlevhuse.dk.  </w:t>
        <w:br/>
        <w:t>Efterfølgende vil man gå i gang med at lave workshops, således at alle beboere  får mulighed for at få indflydelse på den evt. helhedsplan.</w:t>
        <w:br/>
        <w:t>Der er problemer med vores kloaker. I den evt. helhedsplan bliver der ikke givet tilskud til reparation af kloak. Driften og bestyrelsen blev enige om at tage kloak ud af den evt. helhedsplan og gå i gang med repartion af kloak snarest muligt.</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Styringsdialog 17.8. 2023. Annette og Yvonne deltog. Det var et fint møde. Kommunen havde ikke noget at udsætte på Herlevhuse og vi vil stadig få familier med børn ind i bebyggelsen når det var kommunen der anviste nye beboere.</w:t>
        <w:br/>
        <w:t xml:space="preserve">- SAB har afholdt et socialt arrangement 29.8. Det var driftsfællesskabet der </w:t>
      </w:r>
      <w:r>
        <w:rPr>
          <w:rFonts w:cs="Times New Roman" w:ascii="Calibri" w:hAnsi="Calibri"/>
          <w:color w:val="000000"/>
          <w:sz w:val="24"/>
          <w:szCs w:val="24"/>
        </w:rPr>
        <w:t>af</w:t>
      </w:r>
      <w:r>
        <w:rPr>
          <w:rFonts w:cs="Times New Roman" w:ascii="Calibri" w:hAnsi="Calibri"/>
          <w:color w:val="000000"/>
          <w:sz w:val="24"/>
          <w:szCs w:val="24"/>
        </w:rPr>
        <w:t xml:space="preserve">holdt arrangementet </w:t>
      </w:r>
      <w:r>
        <w:rPr>
          <w:rFonts w:cs="Times New Roman" w:ascii="Calibri" w:hAnsi="Calibri"/>
          <w:color w:val="000000"/>
          <w:sz w:val="24"/>
          <w:szCs w:val="24"/>
        </w:rPr>
        <w:t>og det er et årligt møde med afdelingsbestyrelserne fra driftsområdet.</w:t>
      </w:r>
      <w:r>
        <w:rPr>
          <w:rFonts w:cs="Times New Roman" w:ascii="Calibri" w:hAnsi="Calibri"/>
          <w:color w:val="000000"/>
          <w:sz w:val="24"/>
          <w:szCs w:val="24"/>
        </w:rPr>
        <w:br/>
        <w:t>- Ekstraordinært repræsentantskabsmøde ang. beboerne beslutning omkring Bellahøjs helhedsplan. Palle, Annette og Yvonne deltog. De refererede fra mødet, som endte med, at Bellahøjs helhedsplan skulle fortsættes.</w:t>
        <w:br/>
        <w:t>- Der afholdes et seminar for beboervalgte i SAB den 16.-17.9. Annette deltager.</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t>- Indkaldelse til årsmøde i FR den 27. september 2023 – René, Annette og Yvonne deltager</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t>-  Beboermøde m. Regnskab afholdes den 22. november 2023 og beboermøde m. Budget afholdes den 20. marts 2024. Rene kontakter Laurits Roikum.</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br/>
        <w:t xml:space="preserve">- TV  -intet </w:t>
        <w:b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Det stærke Fællesskab - intet</w:t>
        <w:b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Trafik og miljøudvalg - intet</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Aktivitetsudvalg - intet</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 - intet</w:t>
        <w:b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7. Ev</w:t>
      </w:r>
      <w:r>
        <w:rPr>
          <w:rFonts w:cs="Times New Roman" w:ascii="Calibri" w:hAnsi="Calibri"/>
          <w:color w:val="000000"/>
          <w:sz w:val="24"/>
          <w:szCs w:val="24"/>
        </w:rPr>
        <w:t>t.  - intet</w:t>
      </w:r>
    </w:p>
    <w:p>
      <w:pPr>
        <w:pStyle w:val="Normal"/>
        <w:tabs>
          <w:tab w:val="clear" w:pos="709"/>
          <w:tab w:val="left" w:pos="0" w:leader="none"/>
        </w:tabs>
        <w:bidi w:val="0"/>
        <w:spacing w:before="0" w:after="0"/>
        <w:jc w:val="left"/>
        <w:rPr>
          <w:rFonts w:ascii="Calibri" w:hAnsi="Calibri" w:cs="Times New Roman"/>
          <w:b/>
          <w:b/>
          <w:bCs/>
          <w:color w:val="000000"/>
          <w:sz w:val="24"/>
          <w:szCs w:val="24"/>
        </w:rPr>
      </w:pPr>
      <w:r>
        <w:rPr/>
      </w:r>
    </w:p>
    <w:sectPr>
      <w:type w:val="nextPage"/>
      <w:pgSz w:w="11906" w:h="16838"/>
      <w:pgMar w:left="1134" w:right="1134"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ong">
    <w:name w:val="Strong"/>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9715</TotalTime>
  <Application>LibreOffice/7.4.3.2$Windows_X86_64 LibreOffice_project/1048a8393ae2eeec98dff31b5c133c5f1d08b890</Application>
  <AppVersion>15.0000</AppVersion>
  <Pages>2</Pages>
  <Words>579</Words>
  <Characters>3235</Characters>
  <CharactersWithSpaces>3798</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2022-06-07T15:19:31Z</cp:lastPrinted>
  <dcterms:modified xsi:type="dcterms:W3CDTF">2023-09-06T22:16:27Z</dcterms:modified>
  <cp:revision>624</cp:revision>
  <dc:subject/>
  <dc:title/>
</cp:coreProperties>
</file>

<file path=docProps/custom.xml><?xml version="1.0" encoding="utf-8"?>
<Properties xmlns="http://schemas.openxmlformats.org/officeDocument/2006/custom-properties" xmlns:vt="http://schemas.openxmlformats.org/officeDocument/2006/docPropsVTypes"/>
</file>